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72FC9" w14:textId="2B917303" w:rsidR="003771EE" w:rsidRPr="003771EE" w:rsidRDefault="003771EE" w:rsidP="003771EE">
      <w:pPr>
        <w:rPr>
          <w:b/>
          <w:bCs/>
          <w:color w:val="00B050"/>
          <w:sz w:val="30"/>
          <w:szCs w:val="30"/>
        </w:rPr>
      </w:pPr>
      <w:r w:rsidRPr="003771EE">
        <w:rPr>
          <w:b/>
          <w:bCs/>
          <w:color w:val="C00000"/>
          <w:sz w:val="30"/>
          <w:szCs w:val="30"/>
        </w:rPr>
        <w:t xml:space="preserve">What's new in </w:t>
      </w:r>
      <w:proofErr w:type="gramStart"/>
      <w:r w:rsidR="00F767B7">
        <w:rPr>
          <w:b/>
          <w:bCs/>
          <w:color w:val="C00000"/>
          <w:sz w:val="30"/>
          <w:szCs w:val="30"/>
        </w:rPr>
        <w:t>H</w:t>
      </w:r>
      <w:r w:rsidRPr="003771EE">
        <w:rPr>
          <w:b/>
          <w:bCs/>
          <w:color w:val="C00000"/>
          <w:sz w:val="30"/>
          <w:szCs w:val="30"/>
        </w:rPr>
        <w:t>ematology</w:t>
      </w:r>
      <w:r w:rsidRPr="003771EE">
        <w:rPr>
          <w:b/>
          <w:bCs/>
          <w:color w:val="00B050"/>
          <w:sz w:val="30"/>
          <w:szCs w:val="30"/>
        </w:rPr>
        <w:t xml:space="preserve">  </w:t>
      </w:r>
      <w:r w:rsidRPr="00F448A9">
        <w:rPr>
          <w:b/>
          <w:bCs/>
          <w:color w:val="00B050"/>
          <w:sz w:val="30"/>
          <w:szCs w:val="30"/>
        </w:rPr>
        <w:t>March</w:t>
      </w:r>
      <w:proofErr w:type="gramEnd"/>
      <w:r w:rsidRPr="00F448A9">
        <w:rPr>
          <w:b/>
          <w:bCs/>
          <w:color w:val="00B050"/>
          <w:sz w:val="30"/>
          <w:szCs w:val="30"/>
        </w:rPr>
        <w:t xml:space="preserve"> 2025</w:t>
      </w:r>
    </w:p>
    <w:p w14:paraId="18129A7A" w14:textId="77777777" w:rsidR="00510CCB" w:rsidRDefault="00510CCB"/>
    <w:p w14:paraId="45320653" w14:textId="77777777" w:rsidR="00360899" w:rsidRPr="00360899" w:rsidRDefault="00360899" w:rsidP="00360899">
      <w:r w:rsidRPr="00360899">
        <w:rPr>
          <w:b/>
          <w:bCs/>
        </w:rPr>
        <w:t>ACUTE LEUKEMIAS AND MYELODYSPLASTIC SYNDROMES</w:t>
      </w:r>
    </w:p>
    <w:p w14:paraId="2B297A51" w14:textId="77777777" w:rsidR="00360899" w:rsidRPr="00360899" w:rsidRDefault="00360899" w:rsidP="00360899">
      <w:r w:rsidRPr="00360899">
        <w:rPr>
          <w:b/>
          <w:bCs/>
        </w:rPr>
        <w:t xml:space="preserve">Azacitidine plus abbreviated </w:t>
      </w:r>
      <w:proofErr w:type="spellStart"/>
      <w:r w:rsidRPr="00360899">
        <w:rPr>
          <w:b/>
          <w:bCs/>
        </w:rPr>
        <w:t>venetoclax</w:t>
      </w:r>
      <w:proofErr w:type="spellEnd"/>
      <w:r w:rsidRPr="00360899">
        <w:rPr>
          <w:b/>
          <w:bCs/>
        </w:rPr>
        <w:t xml:space="preserve"> for higher-risk myelodysplastic syndromes (March 2025)</w:t>
      </w:r>
    </w:p>
    <w:p w14:paraId="714638EF" w14:textId="77777777" w:rsidR="00360899" w:rsidRPr="00360899" w:rsidRDefault="00360899" w:rsidP="00360899">
      <w:r w:rsidRPr="00360899">
        <w:t>Higher-risk (HR) myelodysplastic syndromes (MDS) primarily arise in older patients, who are often not candidates for allogeneic transplantation. In a recent trial of 107 treatment-naïve patients with HR MDS, treatment with </w:t>
      </w:r>
      <w:hyperlink r:id="rId5" w:history="1">
        <w:r w:rsidRPr="00360899">
          <w:rPr>
            <w:rStyle w:val="Hyperlink"/>
          </w:rPr>
          <w:t>azacitidine</w:t>
        </w:r>
      </w:hyperlink>
      <w:r w:rsidRPr="00360899">
        <w:t> plus an abbreviated course of the BCL2 inhibitor </w:t>
      </w:r>
      <w:proofErr w:type="spellStart"/>
      <w:r w:rsidRPr="00360899">
        <w:fldChar w:fldCharType="begin"/>
      </w:r>
      <w:r w:rsidRPr="00360899">
        <w:instrText>HYPERLINK "https://www4.utdos.ir/contents/venetoclax-drug-information?topicRef=8359&amp;source=see_link"</w:instrText>
      </w:r>
      <w:r w:rsidRPr="00360899">
        <w:fldChar w:fldCharType="separate"/>
      </w:r>
      <w:r w:rsidRPr="00360899">
        <w:rPr>
          <w:rStyle w:val="Hyperlink"/>
        </w:rPr>
        <w:t>venetoclax</w:t>
      </w:r>
      <w:proofErr w:type="spellEnd"/>
      <w:r w:rsidRPr="00360899">
        <w:fldChar w:fldCharType="end"/>
      </w:r>
      <w:r w:rsidRPr="00360899">
        <w:t> was associated with a complete response in one-third, hematologic improvement in one-half, and two-year survival in more than half of patients; 41 percent of transfusion-dependent patients became transfusion-independent [</w:t>
      </w:r>
      <w:hyperlink r:id="rId6" w:history="1">
        <w:r w:rsidRPr="00360899">
          <w:rPr>
            <w:rStyle w:val="Hyperlink"/>
          </w:rPr>
          <w:t>1</w:t>
        </w:r>
      </w:hyperlink>
      <w:r w:rsidRPr="00360899">
        <w:t xml:space="preserve">]. Most patients required dose adjustment or interruption, but toxicity was consistent with known adverse effects, including febrile neutropenia and pneumonia. While these results are encouraging, we await results from an ongoing trial of azacitidine plus </w:t>
      </w:r>
      <w:proofErr w:type="spellStart"/>
      <w:r w:rsidRPr="00360899">
        <w:t>venetoclax</w:t>
      </w:r>
      <w:proofErr w:type="spellEnd"/>
      <w:r w:rsidRPr="00360899">
        <w:t xml:space="preserve"> before routinely using this regimen outside of a clinical trial. (See </w:t>
      </w:r>
      <w:hyperlink r:id="rId7" w:anchor="H3197649308" w:history="1">
        <w:r w:rsidRPr="00360899">
          <w:rPr>
            <w:rStyle w:val="Hyperlink"/>
          </w:rPr>
          <w:t>"Myelodysplastic syndromes/neoplasms (MDS): Treatment of higher-risk MDS", section on 'Azacitidine'</w:t>
        </w:r>
      </w:hyperlink>
      <w:r w:rsidRPr="00360899">
        <w:t>.)</w:t>
      </w:r>
    </w:p>
    <w:p w14:paraId="6C8873C1" w14:textId="77777777" w:rsidR="00360899" w:rsidRDefault="00360899"/>
    <w:p w14:paraId="3C4BBF4A" w14:textId="77777777" w:rsidR="00360899" w:rsidRPr="00360899" w:rsidRDefault="00360899" w:rsidP="00360899">
      <w:r w:rsidRPr="00360899">
        <w:rPr>
          <w:b/>
          <w:bCs/>
        </w:rPr>
        <w:t>LYMPHOMAS</w:t>
      </w:r>
    </w:p>
    <w:p w14:paraId="40F646AF" w14:textId="77777777" w:rsidR="00360899" w:rsidRPr="00360899" w:rsidRDefault="00360899" w:rsidP="00360899">
      <w:proofErr w:type="spellStart"/>
      <w:r w:rsidRPr="00360899">
        <w:rPr>
          <w:b/>
          <w:bCs/>
        </w:rPr>
        <w:t>Mosunetuzumab</w:t>
      </w:r>
      <w:proofErr w:type="spellEnd"/>
      <w:r w:rsidRPr="00360899">
        <w:rPr>
          <w:b/>
          <w:bCs/>
        </w:rPr>
        <w:t xml:space="preserve"> in multiply relapsed or refractory follicular lymphoma (March 2025)</w:t>
      </w:r>
    </w:p>
    <w:p w14:paraId="43028862" w14:textId="77777777" w:rsidR="00360899" w:rsidRPr="00360899" w:rsidRDefault="00360899" w:rsidP="00360899">
      <w:r w:rsidRPr="00360899">
        <w:t>Bispecific antibodies (</w:t>
      </w:r>
      <w:proofErr w:type="spellStart"/>
      <w:r w:rsidRPr="00360899">
        <w:fldChar w:fldCharType="begin"/>
      </w:r>
      <w:r w:rsidRPr="00360899">
        <w:instrText>HYPERLINK "https://www4.utdos.ir/contents/mosunetuzumab-drug-information?topicRef=8359&amp;source=see_link"</w:instrText>
      </w:r>
      <w:r w:rsidRPr="00360899">
        <w:fldChar w:fldCharType="separate"/>
      </w:r>
      <w:r w:rsidRPr="00360899">
        <w:rPr>
          <w:rStyle w:val="Hyperlink"/>
        </w:rPr>
        <w:t>mosunetuzumab</w:t>
      </w:r>
      <w:proofErr w:type="spellEnd"/>
      <w:r w:rsidRPr="00360899">
        <w:fldChar w:fldCharType="end"/>
      </w:r>
      <w:r w:rsidRPr="00360899">
        <w:t>, </w:t>
      </w:r>
      <w:proofErr w:type="spellStart"/>
      <w:r w:rsidRPr="00360899">
        <w:fldChar w:fldCharType="begin"/>
      </w:r>
      <w:r w:rsidRPr="00360899">
        <w:instrText>HYPERLINK "https://www4.utdos.ir/contents/epcoritamab-drug-information?topicRef=8359&amp;source=see_link"</w:instrText>
      </w:r>
      <w:r w:rsidRPr="00360899">
        <w:fldChar w:fldCharType="separate"/>
      </w:r>
      <w:r w:rsidRPr="00360899">
        <w:rPr>
          <w:rStyle w:val="Hyperlink"/>
        </w:rPr>
        <w:t>epcoritamab</w:t>
      </w:r>
      <w:proofErr w:type="spellEnd"/>
      <w:r w:rsidRPr="00360899">
        <w:fldChar w:fldCharType="end"/>
      </w:r>
      <w:r w:rsidRPr="00360899">
        <w:t xml:space="preserve">, </w:t>
      </w:r>
      <w:proofErr w:type="spellStart"/>
      <w:r w:rsidRPr="00360899">
        <w:t>odronextamab</w:t>
      </w:r>
      <w:proofErr w:type="spellEnd"/>
      <w:r w:rsidRPr="00360899">
        <w:t xml:space="preserve">) are used as single agents in multiply relapsed follicular lymphoma (FL) and target CD3 on the patient's T cells and CD20 on the tumor cells. Regulatory approvals were based on impressive response rates in single-arm trials with very short follow-up. In a follow-up report of 90 patients with multiply relapsed or refractory FL treated with the bispecific antibody </w:t>
      </w:r>
      <w:proofErr w:type="spellStart"/>
      <w:r w:rsidRPr="00360899">
        <w:t>mosunetuzumab</w:t>
      </w:r>
      <w:proofErr w:type="spellEnd"/>
      <w:r w:rsidRPr="00360899">
        <w:t>, the median progression-free survival was 24 months and the median duration of response was 36 months [</w:t>
      </w:r>
      <w:hyperlink r:id="rId8" w:history="1">
        <w:r w:rsidRPr="00360899">
          <w:rPr>
            <w:rStyle w:val="Hyperlink"/>
          </w:rPr>
          <w:t>8</w:t>
        </w:r>
      </w:hyperlink>
      <w:r w:rsidRPr="00360899">
        <w:t>]. There were no new toxicities. Based on these and prior data, we consider bispecific antibodies to be an appropriate option in multiply relapsed FL. However, bispecific antibodies have not been directly compared with other therapies (</w:t>
      </w:r>
      <w:proofErr w:type="spellStart"/>
      <w:r w:rsidRPr="00360899">
        <w:t>eg</w:t>
      </w:r>
      <w:proofErr w:type="spellEnd"/>
      <w:r w:rsidRPr="00360899">
        <w:t>, chimeric antigen receptor [CAR]-T cell therapy, novel agents) or with each other, and longer follow-up is needed to better understand efficacy and long-term toxicity. (See </w:t>
      </w:r>
      <w:hyperlink r:id="rId9" w:anchor="H1400479933" w:history="1">
        <w:r w:rsidRPr="00360899">
          <w:rPr>
            <w:rStyle w:val="Hyperlink"/>
          </w:rPr>
          <w:t>"Treatment of relapsed or refractory follicular lymphoma", section on 'Bispecific antibodies'</w:t>
        </w:r>
      </w:hyperlink>
      <w:r w:rsidRPr="00360899">
        <w:t>.)</w:t>
      </w:r>
    </w:p>
    <w:p w14:paraId="088516BA" w14:textId="77777777" w:rsidR="00360899" w:rsidRPr="00360899" w:rsidRDefault="00360899" w:rsidP="00360899">
      <w:r w:rsidRPr="00360899">
        <w:rPr>
          <w:b/>
          <w:bCs/>
        </w:rPr>
        <w:t>MULTIPLE MYELOMA AND OTHER PLASMA CELL DISORDERS</w:t>
      </w:r>
    </w:p>
    <w:p w14:paraId="74C59550" w14:textId="77777777" w:rsidR="00360899" w:rsidRPr="00360899" w:rsidRDefault="00360899" w:rsidP="00360899">
      <w:r w:rsidRPr="00360899">
        <w:rPr>
          <w:b/>
          <w:bCs/>
        </w:rPr>
        <w:t>Daratumumab maintenance after transplant for multiple myeloma (March 2025)</w:t>
      </w:r>
    </w:p>
    <w:p w14:paraId="5AFE23A9" w14:textId="77777777" w:rsidR="00360899" w:rsidRPr="00360899" w:rsidRDefault="00360899" w:rsidP="00360899">
      <w:r w:rsidRPr="00360899">
        <w:lastRenderedPageBreak/>
        <w:t>Maintenance therapy is a standard component of multiple myeloma (MM) treatment and our preferred regimen differs by risk stratification and prior management (</w:t>
      </w:r>
      <w:hyperlink r:id="rId10" w:history="1">
        <w:r w:rsidRPr="00360899">
          <w:rPr>
            <w:rStyle w:val="Hyperlink"/>
          </w:rPr>
          <w:t>algorithm 2</w:t>
        </w:r>
      </w:hyperlink>
      <w:r w:rsidRPr="00360899">
        <w:t>). In a randomized trial in patients naive to the anti-CD38 antibody </w:t>
      </w:r>
      <w:hyperlink r:id="rId11" w:history="1">
        <w:r w:rsidRPr="00360899">
          <w:rPr>
            <w:rStyle w:val="Hyperlink"/>
          </w:rPr>
          <w:t>daratumumab</w:t>
        </w:r>
      </w:hyperlink>
      <w:r w:rsidRPr="00360899">
        <w:t> who had detectable minimal residual disease (MRD) after autologous hematopoietic cell transplantation (HCT), the addition of daratumumab to </w:t>
      </w:r>
      <w:hyperlink r:id="rId12" w:history="1">
        <w:r w:rsidRPr="00360899">
          <w:rPr>
            <w:rStyle w:val="Hyperlink"/>
          </w:rPr>
          <w:t>lenalidomide</w:t>
        </w:r>
      </w:hyperlink>
      <w:r w:rsidRPr="00360899">
        <w:t> increased MRD negativity and improved progression-free survival, albeit with a modest increase in toxicity (</w:t>
      </w:r>
      <w:proofErr w:type="spellStart"/>
      <w:r w:rsidRPr="00360899">
        <w:t>cytopenias</w:t>
      </w:r>
      <w:proofErr w:type="spellEnd"/>
      <w:r w:rsidRPr="00360899">
        <w:t>, infections) [</w:t>
      </w:r>
      <w:hyperlink r:id="rId13" w:history="1">
        <w:r w:rsidRPr="00360899">
          <w:rPr>
            <w:rStyle w:val="Hyperlink"/>
          </w:rPr>
          <w:t>15</w:t>
        </w:r>
      </w:hyperlink>
      <w:r w:rsidRPr="00360899">
        <w:t>]. Our preferred maintenance regimens after HCT remain single-agent lenalidomide for standard-risk MM and lenalidomide plus a proteasome inhibitor for high-risk MM. However, based on this and other studies, maintenance with lenalidomide plus daratumumab is an acceptable alternative for patients with standard-risk MM who did not receive an anti-CD38 monoclonal antibody during induction and for those with high-risk MM who cannot tolerate a proteosome inhibitor. (See </w:t>
      </w:r>
      <w:hyperlink r:id="rId14" w:anchor="H10409153" w:history="1">
        <w:r w:rsidRPr="00360899">
          <w:rPr>
            <w:rStyle w:val="Hyperlink"/>
          </w:rPr>
          <w:t>"Multiple myeloma: Use of hematopoietic cell transplantation", section on 'High-risk disease'</w:t>
        </w:r>
      </w:hyperlink>
      <w:r w:rsidRPr="00360899">
        <w:t>.)</w:t>
      </w:r>
    </w:p>
    <w:p w14:paraId="73ECCD0E" w14:textId="77777777" w:rsidR="00360899" w:rsidRPr="00360899" w:rsidRDefault="00360899" w:rsidP="00360899">
      <w:r w:rsidRPr="00360899">
        <w:rPr>
          <w:b/>
          <w:bCs/>
        </w:rPr>
        <w:t>RED BLOOD CELL DISORDERS AND ANEMIAS</w:t>
      </w:r>
    </w:p>
    <w:p w14:paraId="5E838AA5" w14:textId="77777777" w:rsidR="00360899" w:rsidRPr="00360899" w:rsidRDefault="00360899" w:rsidP="00360899">
      <w:r w:rsidRPr="00360899">
        <w:rPr>
          <w:b/>
          <w:bCs/>
        </w:rPr>
        <w:t>Haploidentical transplantation in sickle cell disease (March 2025)</w:t>
      </w:r>
    </w:p>
    <w:p w14:paraId="776ABFD1" w14:textId="77777777" w:rsidR="00360899" w:rsidRPr="00360899" w:rsidRDefault="00360899" w:rsidP="00360899">
      <w:r w:rsidRPr="00360899">
        <w:t>For adults with sickle cell disease who wish to pursue hematopoietic stem cell transplantation and lack a matched sibling donor, haploidentical donors (related donors who share at least one haplotype [50 percent of HLA loci] with the recipient) continue to show promise. A new study involving 42 adolescents and adults who underwent haploidentical transplantation using the Johns Hopkins platform reported a two-year event-free survival of 88 percent and overall survival of 95 percent [</w:t>
      </w:r>
      <w:hyperlink r:id="rId15" w:history="1">
        <w:r w:rsidRPr="00360899">
          <w:rPr>
            <w:rStyle w:val="Hyperlink"/>
          </w:rPr>
          <w:t>20</w:t>
        </w:r>
      </w:hyperlink>
      <w:r w:rsidRPr="00360899">
        <w:t>]. Chronic graft-versus-host disease occurred in 22 percent and graft failure in three individuals. This adds to the literature supporting haploidentical donor transplantation as a viable alternative for individuals with sickle cell disease who lack a matched sibling donor. (See </w:t>
      </w:r>
      <w:hyperlink r:id="rId16" w:anchor="H146407517" w:history="1">
        <w:r w:rsidRPr="00360899">
          <w:rPr>
            <w:rStyle w:val="Hyperlink"/>
          </w:rPr>
          <w:t>"Curative therapies in sickle cell disease including hematopoietic stem cell transplantation and gene therapy", section on 'Haploidentical related donor'</w:t>
        </w:r>
      </w:hyperlink>
      <w:r w:rsidRPr="00360899">
        <w:t>.)</w:t>
      </w:r>
    </w:p>
    <w:p w14:paraId="0274AE7B" w14:textId="77777777" w:rsidR="003771EE" w:rsidRPr="003771EE" w:rsidRDefault="003771EE" w:rsidP="003771EE">
      <w:r w:rsidRPr="003771EE">
        <w:rPr>
          <w:b/>
          <w:bCs/>
        </w:rPr>
        <w:t>THROMBOSIS AND HEMOSTASIS</w:t>
      </w:r>
    </w:p>
    <w:p w14:paraId="51564653" w14:textId="77777777" w:rsidR="003771EE" w:rsidRPr="003771EE" w:rsidRDefault="003771EE" w:rsidP="003771EE">
      <w:r w:rsidRPr="003771EE">
        <w:rPr>
          <w:b/>
          <w:bCs/>
        </w:rPr>
        <w:t>Competing risks when resuming direct oral anticoagulants after intracerebral hemorrhage (March 2025)</w:t>
      </w:r>
    </w:p>
    <w:p w14:paraId="75D4CD58" w14:textId="77777777" w:rsidR="003771EE" w:rsidRPr="003771EE" w:rsidRDefault="003771EE" w:rsidP="003771EE">
      <w:r w:rsidRPr="003771EE">
        <w:t>Patients with atrial fibrillation and intracerebral hemorrhage (ICH) often have long-term competing risks of ischemic stroke and recurrent ICH. Limited data are available to help quantify these risks in patients taking direct oral anticoagulants (DOACs). In an open-label trial of 319 patients with prior ICH and atrial fibrillation who were randomly assigned to treatment with a DOAC or withholding anticoagulation, the subsequent ischemic stroke rate was lower in those assigned to a DOAC (0.8 versus 8.6 per 100 patient-years), but this benefit was partially offset by an increase in ICH recurrence (5 versus 0.8 per 100 patient-years) [</w:t>
      </w:r>
      <w:hyperlink r:id="rId17" w:history="1">
        <w:r w:rsidRPr="003771EE">
          <w:rPr>
            <w:rStyle w:val="Hyperlink"/>
          </w:rPr>
          <w:t>31</w:t>
        </w:r>
      </w:hyperlink>
      <w:r w:rsidRPr="003771EE">
        <w:t xml:space="preserve">]. All-cause mortality was </w:t>
      </w:r>
      <w:r w:rsidRPr="003771EE">
        <w:lastRenderedPageBreak/>
        <w:t>similar between groups, with wide confidence intervals. These data support the feasibility of resuming anticoagulation with a DOAC in selected patients with ICH but highlight the importance of shared decision-making incorporating these competing risks. (See </w:t>
      </w:r>
      <w:hyperlink r:id="rId18" w:anchor="H172077892" w:history="1">
        <w:r w:rsidRPr="003771EE">
          <w:rPr>
            <w:rStyle w:val="Hyperlink"/>
          </w:rPr>
          <w:t>"Spontaneous intracerebral hemorrhage: Secondary prevention and long-term prognosis", section on 'Therapeutic options'</w:t>
        </w:r>
      </w:hyperlink>
      <w:r w:rsidRPr="003771EE">
        <w:t>.)</w:t>
      </w:r>
    </w:p>
    <w:p w14:paraId="7FD6AF16" w14:textId="77777777" w:rsidR="003771EE" w:rsidRPr="003771EE" w:rsidRDefault="003771EE" w:rsidP="003771EE">
      <w:r w:rsidRPr="003771EE">
        <w:rPr>
          <w:b/>
          <w:bCs/>
        </w:rPr>
        <w:t>Bleeding risk with direct oral anticoagulants (March 2025)</w:t>
      </w:r>
    </w:p>
    <w:p w14:paraId="6A07E496" w14:textId="77777777" w:rsidR="003771EE" w:rsidRPr="003771EE" w:rsidRDefault="003771EE" w:rsidP="003771EE">
      <w:r w:rsidRPr="003771EE">
        <w:t>Direct oral anticoagulants (DOACs) are often preferred to </w:t>
      </w:r>
      <w:hyperlink r:id="rId19" w:history="1">
        <w:r w:rsidRPr="003771EE">
          <w:rPr>
            <w:rStyle w:val="Hyperlink"/>
          </w:rPr>
          <w:t>warfarin</w:t>
        </w:r>
      </w:hyperlink>
      <w:r w:rsidRPr="003771EE">
        <w:t> since they do not require routine monitoring, but bleeding risks are uncertain. A new meta-analysis of data from randomized trials involving over 26,000 individuals prescribed a DOAC or low-dose </w:t>
      </w:r>
      <w:hyperlink r:id="rId20" w:history="1">
        <w:r w:rsidRPr="003771EE">
          <w:rPr>
            <w:rStyle w:val="Hyperlink"/>
          </w:rPr>
          <w:t>aspirin</w:t>
        </w:r>
      </w:hyperlink>
      <w:r w:rsidRPr="003771EE">
        <w:t> reported that bleeding risks with DOACs were similar to low-dose aspirin, which carries a small increased risk [</w:t>
      </w:r>
      <w:hyperlink r:id="rId21" w:history="1">
        <w:r w:rsidRPr="003771EE">
          <w:rPr>
            <w:rStyle w:val="Hyperlink"/>
          </w:rPr>
          <w:t>32</w:t>
        </w:r>
      </w:hyperlink>
      <w:r w:rsidRPr="003771EE">
        <w:t>]. However, clinicians should use caution when comparing bleeding risks between DOACs from different trials, as trial populations may differ and data from direct comparisons are limited. (See </w:t>
      </w:r>
      <w:hyperlink r:id="rId22" w:anchor="H398712348" w:history="1">
        <w:r w:rsidRPr="003771EE">
          <w:rPr>
            <w:rStyle w:val="Hyperlink"/>
          </w:rPr>
          <w:t>"Risks and prevention of bleeding with oral anticoagulants", section on 'Drug class'</w:t>
        </w:r>
      </w:hyperlink>
      <w:r w:rsidRPr="003771EE">
        <w:t>.)</w:t>
      </w:r>
    </w:p>
    <w:p w14:paraId="35EB8D37" w14:textId="77777777" w:rsidR="003771EE" w:rsidRPr="003771EE" w:rsidRDefault="003771EE" w:rsidP="003771EE">
      <w:r w:rsidRPr="003771EE">
        <w:rPr>
          <w:b/>
          <w:bCs/>
        </w:rPr>
        <w:t>OTHER HEMATOLOGY</w:t>
      </w:r>
    </w:p>
    <w:p w14:paraId="28954C7A" w14:textId="77777777" w:rsidR="003771EE" w:rsidRPr="003771EE" w:rsidRDefault="003771EE" w:rsidP="003771EE">
      <w:r w:rsidRPr="003771EE">
        <w:rPr>
          <w:b/>
          <w:bCs/>
        </w:rPr>
        <w:t xml:space="preserve">Add-on </w:t>
      </w:r>
      <w:proofErr w:type="spellStart"/>
      <w:r w:rsidRPr="003771EE">
        <w:rPr>
          <w:b/>
          <w:bCs/>
        </w:rPr>
        <w:t>danicopan</w:t>
      </w:r>
      <w:proofErr w:type="spellEnd"/>
      <w:r w:rsidRPr="003771EE">
        <w:rPr>
          <w:b/>
          <w:bCs/>
        </w:rPr>
        <w:t xml:space="preserve"> in paroxysmal nocturnal hemoglobinuria (March 2025)</w:t>
      </w:r>
    </w:p>
    <w:p w14:paraId="02A3A177" w14:textId="77777777" w:rsidR="003771EE" w:rsidRPr="003771EE" w:rsidRDefault="003771EE" w:rsidP="003771EE">
      <w:r w:rsidRPr="003771EE">
        <w:t>Complement C5 inhibitors (C5i) effectively treat hemolytic paroxysmal hemoglobinuria, but some patients have continued symptoms and ongoing transfusion needs because of breakthrough extravascular hemolysis (EVH). Extended follow-up of a trial that added </w:t>
      </w:r>
      <w:proofErr w:type="spellStart"/>
      <w:r w:rsidRPr="003771EE">
        <w:fldChar w:fldCharType="begin"/>
      </w:r>
      <w:r w:rsidRPr="003771EE">
        <w:instrText>HYPERLINK "https://www4.utdos.ir/contents/danicopan-drug-information?topicRef=8359&amp;source=see_link"</w:instrText>
      </w:r>
      <w:r w:rsidRPr="003771EE">
        <w:fldChar w:fldCharType="separate"/>
      </w:r>
      <w:r w:rsidRPr="003771EE">
        <w:rPr>
          <w:rStyle w:val="Hyperlink"/>
        </w:rPr>
        <w:t>danicopan</w:t>
      </w:r>
      <w:proofErr w:type="spellEnd"/>
      <w:r w:rsidRPr="003771EE">
        <w:fldChar w:fldCharType="end"/>
      </w:r>
      <w:r w:rsidRPr="003771EE">
        <w:t> to a C5i for breakthrough EVH in 86 patients now reports continued efficacy and safety after two years of therapy [</w:t>
      </w:r>
      <w:hyperlink r:id="rId23" w:history="1">
        <w:r w:rsidRPr="003771EE">
          <w:rPr>
            <w:rStyle w:val="Hyperlink"/>
          </w:rPr>
          <w:t>52</w:t>
        </w:r>
      </w:hyperlink>
      <w:r w:rsidRPr="003771EE">
        <w:t xml:space="preserve">]. Like all complement inhibitors, </w:t>
      </w:r>
      <w:proofErr w:type="spellStart"/>
      <w:r w:rsidRPr="003771EE">
        <w:t>danicopan</w:t>
      </w:r>
      <w:proofErr w:type="spellEnd"/>
      <w:r w:rsidRPr="003771EE">
        <w:t xml:space="preserve"> is associated with risk for severe infections with encapsulated bacteria. For symptomatic breakthrough EVH, we suggest adding </w:t>
      </w:r>
      <w:proofErr w:type="spellStart"/>
      <w:r w:rsidRPr="003771EE">
        <w:t>danicopan</w:t>
      </w:r>
      <w:proofErr w:type="spellEnd"/>
      <w:r w:rsidRPr="003771EE">
        <w:t xml:space="preserve"> to the C5i, rather than continuing the C5i alone or monotherapy with another alternative pathway complement inhibitor (</w:t>
      </w:r>
      <w:proofErr w:type="spellStart"/>
      <w:r w:rsidRPr="003771EE">
        <w:t>eg</w:t>
      </w:r>
      <w:proofErr w:type="spellEnd"/>
      <w:r w:rsidRPr="003771EE">
        <w:t>, </w:t>
      </w:r>
      <w:proofErr w:type="spellStart"/>
      <w:r w:rsidRPr="003771EE">
        <w:fldChar w:fldCharType="begin"/>
      </w:r>
      <w:r w:rsidRPr="003771EE">
        <w:instrText>HYPERLINK "https://www4.utdos.ir/contents/iptacopan-drug-information?topicRef=8359&amp;source=see_link"</w:instrText>
      </w:r>
      <w:r w:rsidRPr="003771EE">
        <w:fldChar w:fldCharType="separate"/>
      </w:r>
      <w:r w:rsidRPr="003771EE">
        <w:rPr>
          <w:rStyle w:val="Hyperlink"/>
        </w:rPr>
        <w:t>iptacopan</w:t>
      </w:r>
      <w:proofErr w:type="spellEnd"/>
      <w:r w:rsidRPr="003771EE">
        <w:fldChar w:fldCharType="end"/>
      </w:r>
      <w:r w:rsidRPr="003771EE">
        <w:t> or </w:t>
      </w:r>
      <w:proofErr w:type="spellStart"/>
      <w:r w:rsidRPr="003771EE">
        <w:fldChar w:fldCharType="begin"/>
      </w:r>
      <w:r w:rsidRPr="003771EE">
        <w:instrText>HYPERLINK "https://www4.utdos.ir/contents/pegcetacoplan-drug-information?topicRef=8359&amp;source=see_link"</w:instrText>
      </w:r>
      <w:r w:rsidRPr="003771EE">
        <w:fldChar w:fldCharType="separate"/>
      </w:r>
      <w:r w:rsidRPr="003771EE">
        <w:rPr>
          <w:rStyle w:val="Hyperlink"/>
        </w:rPr>
        <w:t>pegcetacoplan</w:t>
      </w:r>
      <w:proofErr w:type="spellEnd"/>
      <w:r w:rsidRPr="003771EE">
        <w:fldChar w:fldCharType="end"/>
      </w:r>
      <w:r w:rsidRPr="003771EE">
        <w:t>). (See </w:t>
      </w:r>
      <w:hyperlink r:id="rId24" w:anchor="H1724633852" w:history="1">
        <w:r w:rsidRPr="003771EE">
          <w:rPr>
            <w:rStyle w:val="Hyperlink"/>
          </w:rPr>
          <w:t>"Paroxysmal nocturnal hemoglobinuria: Treatment and prognosis", section on 'Management of breakthrough hemolysis'</w:t>
        </w:r>
      </w:hyperlink>
      <w:r w:rsidRPr="003771EE">
        <w:t>.)</w:t>
      </w:r>
    </w:p>
    <w:p w14:paraId="7CEB5EE5" w14:textId="77777777" w:rsidR="00360899" w:rsidRDefault="00360899"/>
    <w:sectPr w:rsidR="003608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535CF"/>
    <w:multiLevelType w:val="multilevel"/>
    <w:tmpl w:val="23FE2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1277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899"/>
    <w:rsid w:val="000B1565"/>
    <w:rsid w:val="00313F44"/>
    <w:rsid w:val="00360899"/>
    <w:rsid w:val="003771EE"/>
    <w:rsid w:val="004B5628"/>
    <w:rsid w:val="00510CCB"/>
    <w:rsid w:val="008D0060"/>
    <w:rsid w:val="00E577A7"/>
    <w:rsid w:val="00F767B7"/>
    <w:rsid w:val="00F904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82E58"/>
  <w15:chartTrackingRefBased/>
  <w15:docId w15:val="{94DC7F26-98FD-42A8-B07C-F26B4EF39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089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6089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6089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6089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6089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608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08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08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08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089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089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089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089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089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08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08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08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0899"/>
    <w:rPr>
      <w:rFonts w:eastAsiaTheme="majorEastAsia" w:cstheme="majorBidi"/>
      <w:color w:val="272727" w:themeColor="text1" w:themeTint="D8"/>
    </w:rPr>
  </w:style>
  <w:style w:type="paragraph" w:styleId="Title">
    <w:name w:val="Title"/>
    <w:basedOn w:val="Normal"/>
    <w:next w:val="Normal"/>
    <w:link w:val="TitleChar"/>
    <w:uiPriority w:val="10"/>
    <w:qFormat/>
    <w:rsid w:val="003608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08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08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08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0899"/>
    <w:pPr>
      <w:spacing w:before="160"/>
      <w:jc w:val="center"/>
    </w:pPr>
    <w:rPr>
      <w:i/>
      <w:iCs/>
      <w:color w:val="404040" w:themeColor="text1" w:themeTint="BF"/>
    </w:rPr>
  </w:style>
  <w:style w:type="character" w:customStyle="1" w:styleId="QuoteChar">
    <w:name w:val="Quote Char"/>
    <w:basedOn w:val="DefaultParagraphFont"/>
    <w:link w:val="Quote"/>
    <w:uiPriority w:val="29"/>
    <w:rsid w:val="00360899"/>
    <w:rPr>
      <w:i/>
      <w:iCs/>
      <w:color w:val="404040" w:themeColor="text1" w:themeTint="BF"/>
    </w:rPr>
  </w:style>
  <w:style w:type="paragraph" w:styleId="ListParagraph">
    <w:name w:val="List Paragraph"/>
    <w:basedOn w:val="Normal"/>
    <w:uiPriority w:val="34"/>
    <w:qFormat/>
    <w:rsid w:val="00360899"/>
    <w:pPr>
      <w:ind w:left="720"/>
      <w:contextualSpacing/>
    </w:pPr>
  </w:style>
  <w:style w:type="character" w:styleId="IntenseEmphasis">
    <w:name w:val="Intense Emphasis"/>
    <w:basedOn w:val="DefaultParagraphFont"/>
    <w:uiPriority w:val="21"/>
    <w:qFormat/>
    <w:rsid w:val="00360899"/>
    <w:rPr>
      <w:i/>
      <w:iCs/>
      <w:color w:val="2F5496" w:themeColor="accent1" w:themeShade="BF"/>
    </w:rPr>
  </w:style>
  <w:style w:type="paragraph" w:styleId="IntenseQuote">
    <w:name w:val="Intense Quote"/>
    <w:basedOn w:val="Normal"/>
    <w:next w:val="Normal"/>
    <w:link w:val="IntenseQuoteChar"/>
    <w:uiPriority w:val="30"/>
    <w:qFormat/>
    <w:rsid w:val="0036089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60899"/>
    <w:rPr>
      <w:i/>
      <w:iCs/>
      <w:color w:val="2F5496" w:themeColor="accent1" w:themeShade="BF"/>
    </w:rPr>
  </w:style>
  <w:style w:type="character" w:styleId="IntenseReference">
    <w:name w:val="Intense Reference"/>
    <w:basedOn w:val="DefaultParagraphFont"/>
    <w:uiPriority w:val="32"/>
    <w:qFormat/>
    <w:rsid w:val="00360899"/>
    <w:rPr>
      <w:b/>
      <w:bCs/>
      <w:smallCaps/>
      <w:color w:val="2F5496" w:themeColor="accent1" w:themeShade="BF"/>
      <w:spacing w:val="5"/>
    </w:rPr>
  </w:style>
  <w:style w:type="character" w:styleId="Hyperlink">
    <w:name w:val="Hyperlink"/>
    <w:basedOn w:val="DefaultParagraphFont"/>
    <w:uiPriority w:val="99"/>
    <w:unhideWhenUsed/>
    <w:rsid w:val="00360899"/>
    <w:rPr>
      <w:color w:val="0563C1" w:themeColor="hyperlink"/>
      <w:u w:val="single"/>
    </w:rPr>
  </w:style>
  <w:style w:type="character" w:styleId="UnresolvedMention">
    <w:name w:val="Unresolved Mention"/>
    <w:basedOn w:val="DefaultParagraphFont"/>
    <w:uiPriority w:val="99"/>
    <w:semiHidden/>
    <w:unhideWhenUsed/>
    <w:rsid w:val="003608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122107">
      <w:bodyDiv w:val="1"/>
      <w:marLeft w:val="0"/>
      <w:marRight w:val="0"/>
      <w:marTop w:val="0"/>
      <w:marBottom w:val="0"/>
      <w:divBdr>
        <w:top w:val="none" w:sz="0" w:space="0" w:color="auto"/>
        <w:left w:val="none" w:sz="0" w:space="0" w:color="auto"/>
        <w:bottom w:val="none" w:sz="0" w:space="0" w:color="auto"/>
        <w:right w:val="none" w:sz="0" w:space="0" w:color="auto"/>
      </w:divBdr>
    </w:div>
    <w:div w:id="326984087">
      <w:bodyDiv w:val="1"/>
      <w:marLeft w:val="0"/>
      <w:marRight w:val="0"/>
      <w:marTop w:val="0"/>
      <w:marBottom w:val="0"/>
      <w:divBdr>
        <w:top w:val="none" w:sz="0" w:space="0" w:color="auto"/>
        <w:left w:val="none" w:sz="0" w:space="0" w:color="auto"/>
        <w:bottom w:val="none" w:sz="0" w:space="0" w:color="auto"/>
        <w:right w:val="none" w:sz="0" w:space="0" w:color="auto"/>
      </w:divBdr>
      <w:divsChild>
        <w:div w:id="214005078">
          <w:marLeft w:val="0"/>
          <w:marRight w:val="0"/>
          <w:marTop w:val="0"/>
          <w:marBottom w:val="0"/>
          <w:divBdr>
            <w:top w:val="none" w:sz="0" w:space="0" w:color="auto"/>
            <w:left w:val="none" w:sz="0" w:space="0" w:color="auto"/>
            <w:bottom w:val="single" w:sz="6" w:space="0" w:color="DADADA"/>
            <w:right w:val="none" w:sz="0" w:space="0" w:color="auto"/>
          </w:divBdr>
          <w:divsChild>
            <w:div w:id="1839727643">
              <w:marLeft w:val="0"/>
              <w:marRight w:val="3225"/>
              <w:marTop w:val="0"/>
              <w:marBottom w:val="0"/>
              <w:divBdr>
                <w:top w:val="none" w:sz="0" w:space="0" w:color="auto"/>
                <w:left w:val="none" w:sz="0" w:space="0" w:color="auto"/>
                <w:bottom w:val="none" w:sz="0" w:space="0" w:color="auto"/>
                <w:right w:val="none" w:sz="0" w:space="0" w:color="auto"/>
              </w:divBdr>
            </w:div>
          </w:divsChild>
        </w:div>
        <w:div w:id="576355871">
          <w:marLeft w:val="0"/>
          <w:marRight w:val="0"/>
          <w:marTop w:val="0"/>
          <w:marBottom w:val="0"/>
          <w:divBdr>
            <w:top w:val="none" w:sz="0" w:space="0" w:color="auto"/>
            <w:left w:val="none" w:sz="0" w:space="0" w:color="auto"/>
            <w:bottom w:val="none" w:sz="0" w:space="0" w:color="auto"/>
            <w:right w:val="none" w:sz="0" w:space="0" w:color="auto"/>
          </w:divBdr>
        </w:div>
      </w:divsChild>
    </w:div>
    <w:div w:id="569004077">
      <w:bodyDiv w:val="1"/>
      <w:marLeft w:val="0"/>
      <w:marRight w:val="0"/>
      <w:marTop w:val="0"/>
      <w:marBottom w:val="0"/>
      <w:divBdr>
        <w:top w:val="none" w:sz="0" w:space="0" w:color="auto"/>
        <w:left w:val="none" w:sz="0" w:space="0" w:color="auto"/>
        <w:bottom w:val="none" w:sz="0" w:space="0" w:color="auto"/>
        <w:right w:val="none" w:sz="0" w:space="0" w:color="auto"/>
      </w:divBdr>
    </w:div>
    <w:div w:id="774255385">
      <w:bodyDiv w:val="1"/>
      <w:marLeft w:val="0"/>
      <w:marRight w:val="0"/>
      <w:marTop w:val="0"/>
      <w:marBottom w:val="0"/>
      <w:divBdr>
        <w:top w:val="none" w:sz="0" w:space="0" w:color="auto"/>
        <w:left w:val="none" w:sz="0" w:space="0" w:color="auto"/>
        <w:bottom w:val="none" w:sz="0" w:space="0" w:color="auto"/>
        <w:right w:val="none" w:sz="0" w:space="0" w:color="auto"/>
      </w:divBdr>
    </w:div>
    <w:div w:id="811947403">
      <w:bodyDiv w:val="1"/>
      <w:marLeft w:val="0"/>
      <w:marRight w:val="0"/>
      <w:marTop w:val="0"/>
      <w:marBottom w:val="0"/>
      <w:divBdr>
        <w:top w:val="none" w:sz="0" w:space="0" w:color="auto"/>
        <w:left w:val="none" w:sz="0" w:space="0" w:color="auto"/>
        <w:bottom w:val="none" w:sz="0" w:space="0" w:color="auto"/>
        <w:right w:val="none" w:sz="0" w:space="0" w:color="auto"/>
      </w:divBdr>
    </w:div>
    <w:div w:id="980305129">
      <w:bodyDiv w:val="1"/>
      <w:marLeft w:val="0"/>
      <w:marRight w:val="0"/>
      <w:marTop w:val="0"/>
      <w:marBottom w:val="0"/>
      <w:divBdr>
        <w:top w:val="none" w:sz="0" w:space="0" w:color="auto"/>
        <w:left w:val="none" w:sz="0" w:space="0" w:color="auto"/>
        <w:bottom w:val="none" w:sz="0" w:space="0" w:color="auto"/>
        <w:right w:val="none" w:sz="0" w:space="0" w:color="auto"/>
      </w:divBdr>
    </w:div>
    <w:div w:id="1196889322">
      <w:bodyDiv w:val="1"/>
      <w:marLeft w:val="0"/>
      <w:marRight w:val="0"/>
      <w:marTop w:val="0"/>
      <w:marBottom w:val="0"/>
      <w:divBdr>
        <w:top w:val="none" w:sz="0" w:space="0" w:color="auto"/>
        <w:left w:val="none" w:sz="0" w:space="0" w:color="auto"/>
        <w:bottom w:val="none" w:sz="0" w:space="0" w:color="auto"/>
        <w:right w:val="none" w:sz="0" w:space="0" w:color="auto"/>
      </w:divBdr>
    </w:div>
    <w:div w:id="1705518159">
      <w:bodyDiv w:val="1"/>
      <w:marLeft w:val="0"/>
      <w:marRight w:val="0"/>
      <w:marTop w:val="0"/>
      <w:marBottom w:val="0"/>
      <w:divBdr>
        <w:top w:val="none" w:sz="0" w:space="0" w:color="auto"/>
        <w:left w:val="none" w:sz="0" w:space="0" w:color="auto"/>
        <w:bottom w:val="none" w:sz="0" w:space="0" w:color="auto"/>
        <w:right w:val="none" w:sz="0" w:space="0" w:color="auto"/>
      </w:divBdr>
    </w:div>
    <w:div w:id="1733653020">
      <w:bodyDiv w:val="1"/>
      <w:marLeft w:val="0"/>
      <w:marRight w:val="0"/>
      <w:marTop w:val="0"/>
      <w:marBottom w:val="0"/>
      <w:divBdr>
        <w:top w:val="none" w:sz="0" w:space="0" w:color="auto"/>
        <w:left w:val="none" w:sz="0" w:space="0" w:color="auto"/>
        <w:bottom w:val="none" w:sz="0" w:space="0" w:color="auto"/>
        <w:right w:val="none" w:sz="0" w:space="0" w:color="auto"/>
      </w:divBdr>
    </w:div>
    <w:div w:id="1750536199">
      <w:bodyDiv w:val="1"/>
      <w:marLeft w:val="0"/>
      <w:marRight w:val="0"/>
      <w:marTop w:val="0"/>
      <w:marBottom w:val="0"/>
      <w:divBdr>
        <w:top w:val="none" w:sz="0" w:space="0" w:color="auto"/>
        <w:left w:val="none" w:sz="0" w:space="0" w:color="auto"/>
        <w:bottom w:val="none" w:sz="0" w:space="0" w:color="auto"/>
        <w:right w:val="none" w:sz="0" w:space="0" w:color="auto"/>
      </w:divBdr>
    </w:div>
    <w:div w:id="1994408401">
      <w:bodyDiv w:val="1"/>
      <w:marLeft w:val="0"/>
      <w:marRight w:val="0"/>
      <w:marTop w:val="0"/>
      <w:marBottom w:val="0"/>
      <w:divBdr>
        <w:top w:val="none" w:sz="0" w:space="0" w:color="auto"/>
        <w:left w:val="none" w:sz="0" w:space="0" w:color="auto"/>
        <w:bottom w:val="none" w:sz="0" w:space="0" w:color="auto"/>
        <w:right w:val="none" w:sz="0" w:space="0" w:color="auto"/>
      </w:divBdr>
    </w:div>
    <w:div w:id="2017340627">
      <w:bodyDiv w:val="1"/>
      <w:marLeft w:val="0"/>
      <w:marRight w:val="0"/>
      <w:marTop w:val="0"/>
      <w:marBottom w:val="0"/>
      <w:divBdr>
        <w:top w:val="none" w:sz="0" w:space="0" w:color="auto"/>
        <w:left w:val="none" w:sz="0" w:space="0" w:color="auto"/>
        <w:bottom w:val="none" w:sz="0" w:space="0" w:color="auto"/>
        <w:right w:val="none" w:sz="0" w:space="0" w:color="auto"/>
      </w:divBdr>
    </w:div>
    <w:div w:id="2064713344">
      <w:bodyDiv w:val="1"/>
      <w:marLeft w:val="0"/>
      <w:marRight w:val="0"/>
      <w:marTop w:val="0"/>
      <w:marBottom w:val="0"/>
      <w:divBdr>
        <w:top w:val="none" w:sz="0" w:space="0" w:color="auto"/>
        <w:left w:val="none" w:sz="0" w:space="0" w:color="auto"/>
        <w:bottom w:val="none" w:sz="0" w:space="0" w:color="auto"/>
        <w:right w:val="none" w:sz="0" w:space="0" w:color="auto"/>
      </w:divBdr>
    </w:div>
    <w:div w:id="2072607767">
      <w:bodyDiv w:val="1"/>
      <w:marLeft w:val="0"/>
      <w:marRight w:val="0"/>
      <w:marTop w:val="0"/>
      <w:marBottom w:val="0"/>
      <w:divBdr>
        <w:top w:val="none" w:sz="0" w:space="0" w:color="auto"/>
        <w:left w:val="none" w:sz="0" w:space="0" w:color="auto"/>
        <w:bottom w:val="none" w:sz="0" w:space="0" w:color="auto"/>
        <w:right w:val="none" w:sz="0" w:space="0" w:color="auto"/>
      </w:divBdr>
      <w:divsChild>
        <w:div w:id="31536026">
          <w:marLeft w:val="0"/>
          <w:marRight w:val="0"/>
          <w:marTop w:val="0"/>
          <w:marBottom w:val="0"/>
          <w:divBdr>
            <w:top w:val="none" w:sz="0" w:space="0" w:color="auto"/>
            <w:left w:val="none" w:sz="0" w:space="0" w:color="auto"/>
            <w:bottom w:val="single" w:sz="6" w:space="0" w:color="DADADA"/>
            <w:right w:val="none" w:sz="0" w:space="0" w:color="auto"/>
          </w:divBdr>
          <w:divsChild>
            <w:div w:id="250353442">
              <w:marLeft w:val="0"/>
              <w:marRight w:val="3225"/>
              <w:marTop w:val="0"/>
              <w:marBottom w:val="0"/>
              <w:divBdr>
                <w:top w:val="none" w:sz="0" w:space="0" w:color="auto"/>
                <w:left w:val="none" w:sz="0" w:space="0" w:color="auto"/>
                <w:bottom w:val="none" w:sz="0" w:space="0" w:color="auto"/>
                <w:right w:val="none" w:sz="0" w:space="0" w:color="auto"/>
              </w:divBdr>
            </w:div>
          </w:divsChild>
        </w:div>
        <w:div w:id="15815215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4.utdos.ir/contents/whats-new-in-hematology/abstract/8" TargetMode="External"/><Relationship Id="rId13" Type="http://schemas.openxmlformats.org/officeDocument/2006/relationships/hyperlink" Target="https://www4.utdos.ir/contents/whats-new-in-hematology/abstract/15" TargetMode="External"/><Relationship Id="rId18" Type="http://schemas.openxmlformats.org/officeDocument/2006/relationships/hyperlink" Target="https://www4.utdos.ir/contents/spontaneous-intracerebral-hemorrhage-secondary-prevention-and-long-term-prognosis?sectionName=Therapeutic%20options&amp;topicRef=8359&amp;anchor=H172077892&amp;source=see_link"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4.utdos.ir/contents/whats-new-in-hematology/abstract/32" TargetMode="External"/><Relationship Id="rId7" Type="http://schemas.openxmlformats.org/officeDocument/2006/relationships/hyperlink" Target="https://www4.utdos.ir/contents/myelodysplastic-syndromes-neoplasms-mds-treatment-of-higher-risk-mds?sectionName=Azacitidine&amp;topicRef=8359&amp;anchor=H3197649308&amp;source=see_link" TargetMode="External"/><Relationship Id="rId12" Type="http://schemas.openxmlformats.org/officeDocument/2006/relationships/hyperlink" Target="https://www4.utdos.ir/contents/lenalidomide-drug-information?topicRef=8359&amp;source=see_link" TargetMode="External"/><Relationship Id="rId17" Type="http://schemas.openxmlformats.org/officeDocument/2006/relationships/hyperlink" Target="https://www4.utdos.ir/contents/whats-new-in-hematology/abstract/3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4.utdos.ir/contents/curative-therapies-in-sickle-cell-disease-including-hematopoietic-stem-cell-transplantation-and-gene-therapy?sectionName=Haploidentical%20related%20donor&amp;topicRef=8359&amp;anchor=H146407517&amp;source=see_link" TargetMode="External"/><Relationship Id="rId20" Type="http://schemas.openxmlformats.org/officeDocument/2006/relationships/hyperlink" Target="https://www4.utdos.ir/contents/aspirin-drug-information?topicRef=8359&amp;source=see_link" TargetMode="External"/><Relationship Id="rId1" Type="http://schemas.openxmlformats.org/officeDocument/2006/relationships/numbering" Target="numbering.xml"/><Relationship Id="rId6" Type="http://schemas.openxmlformats.org/officeDocument/2006/relationships/hyperlink" Target="https://www4.utdos.ir/contents/whats-new-in-hematology/abstract/1" TargetMode="External"/><Relationship Id="rId11" Type="http://schemas.openxmlformats.org/officeDocument/2006/relationships/hyperlink" Target="https://www4.utdos.ir/contents/daratumumab-drug-information?topicRef=8359&amp;source=see_link" TargetMode="External"/><Relationship Id="rId24" Type="http://schemas.openxmlformats.org/officeDocument/2006/relationships/hyperlink" Target="https://www4.utdos.ir/contents/paroxysmal-nocturnal-hemoglobinuria-treatment-and-prognosis?sectionName=Management%20of%20breakthrough%20hemolysis&amp;topicRef=8359&amp;anchor=H1724633852&amp;source=see_link" TargetMode="External"/><Relationship Id="rId5" Type="http://schemas.openxmlformats.org/officeDocument/2006/relationships/hyperlink" Target="https://www4.utdos.ir/contents/azacitidine-drug-information?topicRef=8359&amp;source=see_link" TargetMode="External"/><Relationship Id="rId15" Type="http://schemas.openxmlformats.org/officeDocument/2006/relationships/hyperlink" Target="https://www4.utdos.ir/contents/whats-new-in-hematology/abstract/20" TargetMode="External"/><Relationship Id="rId23" Type="http://schemas.openxmlformats.org/officeDocument/2006/relationships/hyperlink" Target="https://www4.utdos.ir/contents/whats-new-in-hematology/abstract/52" TargetMode="External"/><Relationship Id="rId10" Type="http://schemas.openxmlformats.org/officeDocument/2006/relationships/hyperlink" Target="https://www4.utdos.ir/contents/image?imageKey=HEME%2F97453&amp;topicKey=HEME%2F8359&amp;source=see_link" TargetMode="External"/><Relationship Id="rId19" Type="http://schemas.openxmlformats.org/officeDocument/2006/relationships/hyperlink" Target="https://www4.utdos.ir/contents/warfarin-drug-information?topicRef=8359&amp;source=see_link" TargetMode="External"/><Relationship Id="rId4" Type="http://schemas.openxmlformats.org/officeDocument/2006/relationships/webSettings" Target="webSettings.xml"/><Relationship Id="rId9" Type="http://schemas.openxmlformats.org/officeDocument/2006/relationships/hyperlink" Target="https://www4.utdos.ir/contents/treatment-of-relapsed-or-refractory-follicular-lymphoma?sectionName=Bispecific%20antibodies&amp;topicRef=8359&amp;anchor=H1400479933&amp;source=see_link" TargetMode="External"/><Relationship Id="rId14" Type="http://schemas.openxmlformats.org/officeDocument/2006/relationships/hyperlink" Target="https://www4.utdos.ir/contents/multiple-myeloma-use-of-hematopoietic-cell-transplantation?sectionName=High-risk%20disease&amp;topicRef=8359&amp;anchor=H10409153&amp;source=see_link" TargetMode="External"/><Relationship Id="rId22" Type="http://schemas.openxmlformats.org/officeDocument/2006/relationships/hyperlink" Target="https://www4.utdos.ir/contents/risks-and-prevention-of-bleeding-with-oral-anticoagulants?sectionName=Drug%20class&amp;topicRef=8359&amp;anchor=H398712348&amp;source=see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1598</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lib</cp:lastModifiedBy>
  <cp:revision>1</cp:revision>
  <dcterms:created xsi:type="dcterms:W3CDTF">2025-03-30T06:34:00Z</dcterms:created>
  <dcterms:modified xsi:type="dcterms:W3CDTF">2025-03-30T06:37:00Z</dcterms:modified>
</cp:coreProperties>
</file>